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COPE Local 96 - Sick and Welfare Policy June 2020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the event of the death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of a member/members, below is a list of who is eligible for receiving a $30.00 donation to a charity of the members choice from the Sick and Welfare Committee.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policy refers to the member’s family only.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Parent(s) / Step parent (s) / Guardian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Spouse/same sex partner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Child/step child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Grandchild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Brother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Sister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Mother inlaw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Father inlaw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Brother inlaw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Sister inlaw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Son inlaw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Daughter inlaw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This is in the case of other relatives for which cards will be sent out.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Grandparents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Aunt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Uncle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Niece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Nephew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 the case of sickness, a gift card valued at $30.00 will be sent to the members who are off three (3) weeks or longer.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the case of maternity, which is inclusive of the birth of a child, adoption of a child or paternity leave, a gift card valued at $30.00 will be sent to the member.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Full time and Part time members to be included in the above policy. (Any member paying dues qualifies).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